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047B76E0"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F32C5">
        <w:rPr>
          <w:rFonts w:ascii="Arial" w:hAnsi="Arial" w:cs="Arial"/>
          <w:sz w:val="24"/>
          <w:szCs w:val="28"/>
          <w:lang w:val="en-CA"/>
        </w:rPr>
        <w:t>8</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EC6189">
        <w:rPr>
          <w:rFonts w:ascii="Arial" w:hAnsi="Arial" w:cs="Arial"/>
          <w:sz w:val="24"/>
          <w:szCs w:val="28"/>
          <w:lang w:val="en-CA"/>
        </w:rPr>
        <w:t>02357</w:t>
      </w:r>
    </w:p>
    <w:p w14:paraId="4F58942D" w14:textId="73B8DA7B" w:rsidR="00D80957" w:rsidRPr="00457F73" w:rsidRDefault="00AA35A3"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142C2E">
        <w:rPr>
          <w:rFonts w:ascii="Arial" w:hAnsi="Arial" w:cs="Arial"/>
          <w:sz w:val="24"/>
          <w:szCs w:val="28"/>
          <w:lang w:val="en-CA"/>
        </w:rPr>
        <w:t xml:space="preserve">January 25 </w:t>
      </w:r>
      <w:r w:rsidR="00946E1F">
        <w:rPr>
          <w:rFonts w:ascii="Arial" w:hAnsi="Arial" w:cs="Arial"/>
          <w:sz w:val="24"/>
          <w:szCs w:val="28"/>
          <w:lang w:val="en-CA"/>
        </w:rPr>
        <w:t xml:space="preserve">– </w:t>
      </w:r>
      <w:r w:rsidR="00142C2E">
        <w:rPr>
          <w:rFonts w:ascii="Arial" w:hAnsi="Arial" w:cs="Arial"/>
          <w:sz w:val="24"/>
          <w:szCs w:val="28"/>
          <w:lang w:val="en-CA"/>
        </w:rPr>
        <w:t>February 5</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6AD88BEC" w:rsidR="00D80957" w:rsidRPr="00EF221F" w:rsidRDefault="00D80957" w:rsidP="0033186E">
      <w:pPr>
        <w:tabs>
          <w:tab w:val="left" w:pos="1985"/>
        </w:tabs>
        <w:spacing w:before="240" w:after="0"/>
        <w:jc w:val="both"/>
        <w:rPr>
          <w:rFonts w:ascii="Arial" w:hAnsi="Arial" w:cs="Arial"/>
          <w:bCs/>
          <w:sz w:val="22"/>
          <w:szCs w:val="22"/>
          <w:lang w:val="en-US"/>
        </w:rPr>
      </w:pPr>
      <w:r w:rsidRPr="00EF221F">
        <w:rPr>
          <w:rFonts w:ascii="Arial" w:hAnsi="Arial" w:cs="Arial"/>
          <w:b/>
          <w:sz w:val="22"/>
          <w:szCs w:val="22"/>
          <w:lang w:val="en-US"/>
        </w:rPr>
        <w:t>Agenda Item:</w:t>
      </w:r>
      <w:r w:rsidRPr="00EF221F">
        <w:rPr>
          <w:rFonts w:ascii="Arial" w:hAnsi="Arial" w:cs="Arial"/>
          <w:b/>
          <w:sz w:val="22"/>
          <w:szCs w:val="22"/>
          <w:lang w:val="en-US"/>
        </w:rPr>
        <w:tab/>
      </w:r>
      <w:r w:rsidR="00BB3A75" w:rsidRPr="00BB3A75">
        <w:rPr>
          <w:rFonts w:ascii="Arial" w:hAnsi="Arial" w:cs="Arial"/>
          <w:sz w:val="22"/>
          <w:szCs w:val="22"/>
          <w:lang w:val="en-US"/>
        </w:rPr>
        <w:t>7.5.3.2.1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155329EA"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2064B8">
        <w:rPr>
          <w:rFonts w:ascii="Arial" w:hAnsi="Arial" w:cs="Arial"/>
          <w:sz w:val="22"/>
          <w:szCs w:val="22"/>
          <w:lang w:val="en-CA"/>
        </w:rPr>
        <w:t>TC3</w:t>
      </w:r>
      <w:r w:rsidR="00A01C4A">
        <w:rPr>
          <w:rFonts w:ascii="Arial" w:hAnsi="Arial" w:cs="Arial"/>
          <w:sz w:val="22"/>
          <w:szCs w:val="22"/>
          <w:lang w:val="en-CA"/>
        </w:rPr>
        <w:t xml:space="preserve"> for Direct SCell Activation</w:t>
      </w:r>
    </w:p>
    <w:p w14:paraId="2FCB5745" w14:textId="5A958FBB"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2064B8">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65D1750B" w14:textId="07A2C2E2" w:rsidR="00CF7E5B" w:rsidRDefault="00CF7E5B" w:rsidP="00142C2E">
      <w:pPr>
        <w:rPr>
          <w:sz w:val="22"/>
          <w:lang w:val="en-CA"/>
        </w:rPr>
      </w:pPr>
      <w:r>
        <w:rPr>
          <w:sz w:val="22"/>
          <w:lang w:val="en-CA"/>
        </w:rPr>
        <w:t xml:space="preserve">At RAN4#97e a list of test cases for Direct SCell Activation was agreed along with a work split among interested companies. It was further agreed that drafts of the test cases were to be provided to the RAN4#98e meeting. The agreements were captured in a WF </w:t>
      </w:r>
      <w:r>
        <w:rPr>
          <w:sz w:val="22"/>
          <w:lang w:val="en-CA"/>
        </w:rPr>
        <w:fldChar w:fldCharType="begin"/>
      </w:r>
      <w:r>
        <w:rPr>
          <w:sz w:val="22"/>
          <w:lang w:val="en-CA"/>
        </w:rPr>
        <w:instrText xml:space="preserve"> REF _Ref60740299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w:t>
      </w:r>
    </w:p>
    <w:p w14:paraId="46C4872F" w14:textId="30AA929A" w:rsidR="00515947" w:rsidRPr="00DF54C9" w:rsidRDefault="00CF7E5B" w:rsidP="00142C2E">
      <w:pPr>
        <w:rPr>
          <w:sz w:val="22"/>
          <w:lang w:val="en-CA"/>
        </w:rPr>
      </w:pPr>
      <w:r>
        <w:rPr>
          <w:sz w:val="22"/>
          <w:lang w:val="en-CA"/>
        </w:rPr>
        <w:t>In the work split, Ericsson was assigned as sourcing company for TC3: SCell addition in SA with NR spCell in FR1 and SCell in FR1. In this contribution we are providing some background information on the choices made while designing</w:t>
      </w:r>
      <w:r w:rsidR="00D360AA">
        <w:rPr>
          <w:sz w:val="22"/>
          <w:lang w:val="en-CA"/>
        </w:rPr>
        <w:t xml:space="preserve"> the test case, for which a draft is provided in </w:t>
      </w:r>
      <w:r w:rsidR="00070AE2">
        <w:rPr>
          <w:sz w:val="22"/>
          <w:lang w:val="en-CA"/>
        </w:rPr>
        <w:fldChar w:fldCharType="begin"/>
      </w:r>
      <w:r w:rsidR="00070AE2">
        <w:rPr>
          <w:sz w:val="22"/>
          <w:lang w:val="en-CA"/>
        </w:rPr>
        <w:instrText xml:space="preserve"> REF _Ref60740739 \r \h </w:instrText>
      </w:r>
      <w:r w:rsidR="00070AE2">
        <w:rPr>
          <w:sz w:val="22"/>
          <w:lang w:val="en-CA"/>
        </w:rPr>
      </w:r>
      <w:r w:rsidR="00070AE2">
        <w:rPr>
          <w:sz w:val="22"/>
          <w:lang w:val="en-CA"/>
        </w:rPr>
        <w:fldChar w:fldCharType="separate"/>
      </w:r>
      <w:r w:rsidR="00070AE2">
        <w:rPr>
          <w:sz w:val="22"/>
          <w:lang w:val="en-CA"/>
        </w:rPr>
        <w:t>[2]</w:t>
      </w:r>
      <w:r w:rsidR="00070AE2">
        <w:rPr>
          <w:sz w:val="22"/>
          <w:lang w:val="en-CA"/>
        </w:rPr>
        <w:fldChar w:fldCharType="end"/>
      </w:r>
      <w:r w:rsidR="00070AE2">
        <w:rPr>
          <w:sz w:val="22"/>
          <w:lang w:val="en-CA"/>
        </w:rPr>
        <w:t>.</w:t>
      </w:r>
      <w:r>
        <w:rPr>
          <w:sz w:val="22"/>
          <w:lang w:val="en-CA"/>
        </w:rPr>
        <w:t xml:space="preserve"> </w:t>
      </w:r>
    </w:p>
    <w:p w14:paraId="6CE97566" w14:textId="78BDE04D" w:rsidR="004E2B9B" w:rsidRDefault="00515947" w:rsidP="004E2B9B">
      <w:pPr>
        <w:pStyle w:val="Heading1"/>
        <w:ind w:left="431" w:hanging="431"/>
        <w:rPr>
          <w:szCs w:val="36"/>
          <w:lang w:val="en-CA"/>
        </w:rPr>
      </w:pPr>
      <w:r>
        <w:rPr>
          <w:szCs w:val="36"/>
          <w:lang w:val="en-CA"/>
        </w:rPr>
        <w:t>Discussion</w:t>
      </w:r>
    </w:p>
    <w:p w14:paraId="3F05E43E" w14:textId="58F7CA81" w:rsidR="0048183B" w:rsidRDefault="003232FC" w:rsidP="0093067B">
      <w:pPr>
        <w:spacing w:after="0"/>
        <w:rPr>
          <w:rFonts w:eastAsia="Times New Roman"/>
          <w:sz w:val="22"/>
          <w:szCs w:val="22"/>
          <w:lang w:eastAsia="ko-KR"/>
        </w:rPr>
      </w:pPr>
      <w:r>
        <w:rPr>
          <w:rFonts w:eastAsia="Times New Roman"/>
          <w:sz w:val="22"/>
          <w:szCs w:val="22"/>
          <w:lang w:eastAsia="ko-KR"/>
        </w:rPr>
        <w:t xml:space="preserve">The requirement to be tested is the activation </w:t>
      </w:r>
      <w:r w:rsidR="0048183B">
        <w:rPr>
          <w:rFonts w:eastAsia="Times New Roman"/>
          <w:sz w:val="22"/>
          <w:szCs w:val="22"/>
          <w:lang w:eastAsia="ko-KR"/>
        </w:rPr>
        <w:t xml:space="preserve">delay requirement </w:t>
      </w:r>
      <w:r>
        <w:rPr>
          <w:rFonts w:eastAsia="Times New Roman"/>
          <w:sz w:val="22"/>
          <w:szCs w:val="22"/>
          <w:lang w:eastAsia="ko-KR"/>
        </w:rPr>
        <w:t xml:space="preserve">in clause </w:t>
      </w:r>
      <w:r w:rsidR="00085F59">
        <w:rPr>
          <w:rFonts w:eastAsia="Times New Roman"/>
          <w:sz w:val="22"/>
          <w:szCs w:val="22"/>
          <w:lang w:eastAsia="ko-KR"/>
        </w:rPr>
        <w:t xml:space="preserve">8.3.4 for direct SCell activation at </w:t>
      </w:r>
      <w:r w:rsidR="002F4BC1">
        <w:rPr>
          <w:rFonts w:eastAsia="Times New Roman"/>
          <w:sz w:val="22"/>
          <w:szCs w:val="22"/>
          <w:lang w:eastAsia="ko-KR"/>
        </w:rPr>
        <w:t xml:space="preserve">SCell </w:t>
      </w:r>
      <w:r w:rsidR="00085F59">
        <w:rPr>
          <w:rFonts w:eastAsia="Times New Roman"/>
          <w:sz w:val="22"/>
          <w:szCs w:val="22"/>
          <w:lang w:eastAsia="ko-KR"/>
        </w:rPr>
        <w:t>addition</w:t>
      </w:r>
      <w:r w:rsidR="002F4BC1">
        <w:rPr>
          <w:rFonts w:eastAsia="Times New Roman"/>
          <w:sz w:val="22"/>
          <w:szCs w:val="22"/>
          <w:lang w:eastAsia="ko-KR"/>
        </w:rPr>
        <w:t xml:space="preserve">, for NR stand-alone and with both PCell and SCell in FR1. </w:t>
      </w:r>
      <w:r w:rsidR="0048183B">
        <w:rPr>
          <w:rFonts w:eastAsia="Times New Roman"/>
          <w:sz w:val="22"/>
          <w:szCs w:val="22"/>
          <w:lang w:eastAsia="ko-KR"/>
        </w:rPr>
        <w:t xml:space="preserve">It has not been discussed whether both activation delay and interruption requirements are to be covered in the same test case (as was discussed for SCell dormancy). </w:t>
      </w:r>
      <w:r w:rsidR="00123935">
        <w:rPr>
          <w:rFonts w:eastAsia="Times New Roman"/>
          <w:sz w:val="22"/>
          <w:szCs w:val="22"/>
          <w:lang w:eastAsia="ko-KR"/>
        </w:rPr>
        <w:t xml:space="preserve">Looking at the corresponding test case in E-UTRA legacy, 36.133 A.8.16.106, it seems only activation delay was tested. </w:t>
      </w:r>
      <w:r w:rsidR="0048183B">
        <w:rPr>
          <w:rFonts w:eastAsia="Times New Roman"/>
          <w:sz w:val="22"/>
          <w:szCs w:val="22"/>
          <w:lang w:eastAsia="ko-KR"/>
        </w:rPr>
        <w:t xml:space="preserve">We do not see any issue with </w:t>
      </w:r>
      <w:r w:rsidR="00123935">
        <w:rPr>
          <w:rFonts w:eastAsia="Times New Roman"/>
          <w:sz w:val="22"/>
          <w:szCs w:val="22"/>
          <w:lang w:eastAsia="ko-KR"/>
        </w:rPr>
        <w:t>testing also interruption requirement</w:t>
      </w:r>
      <w:r w:rsidR="0048183B">
        <w:rPr>
          <w:rFonts w:eastAsia="Times New Roman"/>
          <w:sz w:val="22"/>
          <w:szCs w:val="22"/>
          <w:lang w:eastAsia="ko-KR"/>
        </w:rPr>
        <w:t xml:space="preserve"> as it can easily be covered by adding e.g. continuous scheduling and ACK/NACK counting in PCell to the test case. Companies are encouraged to provide their views on whether the same test case is to cover both activation delay and interruption requirements.</w:t>
      </w:r>
    </w:p>
    <w:p w14:paraId="46B0B675" w14:textId="77777777" w:rsidR="0048183B" w:rsidRDefault="0048183B" w:rsidP="0093067B">
      <w:pPr>
        <w:spacing w:after="0"/>
        <w:rPr>
          <w:rFonts w:eastAsia="Times New Roman"/>
          <w:sz w:val="22"/>
          <w:szCs w:val="22"/>
          <w:lang w:eastAsia="ko-KR"/>
        </w:rPr>
      </w:pPr>
    </w:p>
    <w:p w14:paraId="2BBCC19B" w14:textId="6B513E09" w:rsidR="0048183B" w:rsidRPr="0048183B" w:rsidRDefault="0048183B" w:rsidP="0093067B">
      <w:pPr>
        <w:spacing w:after="0"/>
        <w:rPr>
          <w:rFonts w:eastAsia="Times New Roman"/>
          <w:color w:val="4F81BD" w:themeColor="accent1"/>
          <w:sz w:val="22"/>
          <w:szCs w:val="22"/>
          <w:lang w:eastAsia="ko-KR"/>
        </w:rPr>
      </w:pPr>
      <w:r w:rsidRPr="006C1C36">
        <w:rPr>
          <w:rFonts w:eastAsia="Times New Roman"/>
          <w:b/>
          <w:bCs/>
          <w:color w:val="4F81BD" w:themeColor="accent1"/>
          <w:sz w:val="22"/>
          <w:szCs w:val="22"/>
          <w:lang w:eastAsia="ko-KR"/>
        </w:rPr>
        <w:t xml:space="preserve">Proposal </w:t>
      </w:r>
      <w:r>
        <w:rPr>
          <w:rFonts w:eastAsia="Times New Roman"/>
          <w:b/>
          <w:bCs/>
          <w:color w:val="4F81BD" w:themeColor="accent1"/>
          <w:sz w:val="22"/>
          <w:szCs w:val="22"/>
          <w:lang w:eastAsia="ko-KR"/>
        </w:rPr>
        <w:t>1</w:t>
      </w:r>
      <w:r w:rsidRPr="006C1C36">
        <w:rPr>
          <w:rFonts w:eastAsia="Times New Roman"/>
          <w:b/>
          <w:bCs/>
          <w:color w:val="4F81BD" w:themeColor="accent1"/>
          <w:sz w:val="22"/>
          <w:szCs w:val="22"/>
          <w:lang w:eastAsia="ko-KR"/>
        </w:rPr>
        <w:t>:</w:t>
      </w:r>
      <w:r w:rsidRPr="006C1C36">
        <w:rPr>
          <w:rFonts w:eastAsia="Times New Roman"/>
          <w:color w:val="4F81BD" w:themeColor="accent1"/>
          <w:sz w:val="22"/>
          <w:szCs w:val="22"/>
          <w:lang w:eastAsia="ko-KR"/>
        </w:rPr>
        <w:t xml:space="preserve"> </w:t>
      </w:r>
      <w:r w:rsidRPr="00CE6153">
        <w:rPr>
          <w:rFonts w:eastAsia="Times New Roman"/>
          <w:sz w:val="22"/>
          <w:szCs w:val="22"/>
          <w:lang w:eastAsia="ko-KR"/>
        </w:rPr>
        <w:t>RAN4 to agree on whether test cases for Direct SCell Activation shall test only</w:t>
      </w:r>
      <w:r w:rsidR="00123935" w:rsidRPr="00CE6153">
        <w:rPr>
          <w:rFonts w:eastAsia="Times New Roman"/>
          <w:sz w:val="22"/>
          <w:szCs w:val="22"/>
          <w:lang w:eastAsia="ko-KR"/>
        </w:rPr>
        <w:t xml:space="preserve"> activation delay,</w:t>
      </w:r>
      <w:r w:rsidRPr="00CE6153">
        <w:rPr>
          <w:rFonts w:eastAsia="Times New Roman"/>
          <w:sz w:val="22"/>
          <w:szCs w:val="22"/>
          <w:lang w:eastAsia="ko-KR"/>
        </w:rPr>
        <w:t xml:space="preserve"> or both activation delay and interruption requirement.</w:t>
      </w:r>
    </w:p>
    <w:p w14:paraId="016F00A5" w14:textId="77777777" w:rsidR="0048183B" w:rsidRDefault="0048183B" w:rsidP="0093067B">
      <w:pPr>
        <w:spacing w:after="0"/>
        <w:rPr>
          <w:rFonts w:eastAsia="Times New Roman"/>
          <w:sz w:val="22"/>
          <w:szCs w:val="22"/>
          <w:lang w:eastAsia="ko-KR"/>
        </w:rPr>
      </w:pPr>
    </w:p>
    <w:p w14:paraId="1CEF372B" w14:textId="035C27C9" w:rsidR="006C1C36" w:rsidRDefault="002F4BC1" w:rsidP="0093067B">
      <w:pPr>
        <w:spacing w:after="0"/>
        <w:rPr>
          <w:rFonts w:eastAsia="Times New Roman"/>
          <w:sz w:val="22"/>
          <w:szCs w:val="22"/>
          <w:lang w:eastAsia="ko-KR"/>
        </w:rPr>
      </w:pPr>
      <w:r>
        <w:rPr>
          <w:rFonts w:eastAsia="Times New Roman"/>
          <w:sz w:val="22"/>
          <w:szCs w:val="22"/>
          <w:lang w:eastAsia="ko-KR"/>
        </w:rPr>
        <w:t xml:space="preserve">As agreed at RAN4#97e, for Direct SCell Activation the test cases introduced at this point shall only be based on </w:t>
      </w:r>
      <w:r w:rsidR="006C1C36">
        <w:rPr>
          <w:rFonts w:eastAsia="Times New Roman"/>
          <w:sz w:val="22"/>
          <w:szCs w:val="22"/>
          <w:lang w:eastAsia="ko-KR"/>
        </w:rPr>
        <w:t>direct activation of a single SCell.</w:t>
      </w:r>
    </w:p>
    <w:p w14:paraId="29C71904" w14:textId="77777777" w:rsidR="006C1C36" w:rsidRDefault="006C1C36" w:rsidP="0093067B">
      <w:pPr>
        <w:spacing w:after="0"/>
        <w:rPr>
          <w:rFonts w:eastAsia="Times New Roman"/>
          <w:sz w:val="22"/>
          <w:szCs w:val="22"/>
          <w:lang w:eastAsia="ko-KR"/>
        </w:rPr>
      </w:pPr>
    </w:p>
    <w:p w14:paraId="523C8B78" w14:textId="102FFB56" w:rsidR="00085F59" w:rsidRDefault="006C1C36" w:rsidP="0093067B">
      <w:pPr>
        <w:spacing w:after="0"/>
        <w:rPr>
          <w:rFonts w:eastAsia="Times New Roman"/>
          <w:sz w:val="22"/>
          <w:szCs w:val="22"/>
          <w:lang w:eastAsia="ko-KR"/>
        </w:rPr>
      </w:pPr>
      <w:r>
        <w:rPr>
          <w:rFonts w:eastAsia="Times New Roman"/>
          <w:sz w:val="22"/>
          <w:szCs w:val="22"/>
          <w:lang w:eastAsia="ko-KR"/>
        </w:rPr>
        <w:t>Direct activation can be carried out both for known and unknown SCell(s). In this test case we have focused on the case where the SCell is known to the UE at the time of being added</w:t>
      </w:r>
      <w:r w:rsidR="00123935">
        <w:rPr>
          <w:rFonts w:eastAsia="Times New Roman"/>
          <w:sz w:val="22"/>
          <w:szCs w:val="22"/>
          <w:lang w:eastAsia="ko-KR"/>
        </w:rPr>
        <w:t>. This assumption was also used for the corresponding test case in E-UTRA legacy 36.133 A.8.16.106.</w:t>
      </w:r>
      <w:r>
        <w:rPr>
          <w:rFonts w:eastAsia="Times New Roman"/>
          <w:sz w:val="22"/>
          <w:szCs w:val="22"/>
          <w:lang w:eastAsia="ko-KR"/>
        </w:rPr>
        <w:t xml:space="preserve"> </w:t>
      </w:r>
      <w:r w:rsidR="00085F59">
        <w:rPr>
          <w:rFonts w:eastAsia="Times New Roman"/>
          <w:sz w:val="22"/>
          <w:szCs w:val="22"/>
          <w:lang w:eastAsia="ko-KR"/>
        </w:rPr>
        <w:t xml:space="preserve">The proposed heading for the test case is </w:t>
      </w:r>
      <w:r w:rsidR="00085F59" w:rsidRPr="00085F59">
        <w:rPr>
          <w:rFonts w:eastAsia="Times New Roman"/>
          <w:i/>
          <w:iCs/>
          <w:sz w:val="22"/>
          <w:szCs w:val="22"/>
          <w:lang w:eastAsia="ko-KR"/>
        </w:rPr>
        <w:t>“Direct Activation of known SCell at SCell addition”</w:t>
      </w:r>
      <w:r w:rsidR="00085F59">
        <w:rPr>
          <w:rFonts w:eastAsia="Times New Roman"/>
          <w:sz w:val="22"/>
          <w:szCs w:val="22"/>
          <w:lang w:eastAsia="ko-KR"/>
        </w:rPr>
        <w:t xml:space="preserve"> hence if </w:t>
      </w:r>
      <w:r w:rsidR="002064B8">
        <w:rPr>
          <w:rFonts w:eastAsia="Times New Roman"/>
          <w:sz w:val="22"/>
          <w:szCs w:val="22"/>
          <w:lang w:eastAsia="ko-KR"/>
        </w:rPr>
        <w:t>a</w:t>
      </w:r>
      <w:r w:rsidR="00085F59">
        <w:rPr>
          <w:rFonts w:eastAsia="Times New Roman"/>
          <w:sz w:val="22"/>
          <w:szCs w:val="22"/>
          <w:lang w:eastAsia="ko-KR"/>
        </w:rPr>
        <w:t xml:space="preserve"> need </w:t>
      </w:r>
      <w:r w:rsidR="002064B8">
        <w:rPr>
          <w:rFonts w:eastAsia="Times New Roman"/>
          <w:sz w:val="22"/>
          <w:szCs w:val="22"/>
          <w:lang w:eastAsia="ko-KR"/>
        </w:rPr>
        <w:t xml:space="preserve">is identified </w:t>
      </w:r>
      <w:r w:rsidR="00085F59">
        <w:rPr>
          <w:rFonts w:eastAsia="Times New Roman"/>
          <w:sz w:val="22"/>
          <w:szCs w:val="22"/>
          <w:lang w:eastAsia="ko-KR"/>
        </w:rPr>
        <w:t xml:space="preserve">for covering also the case where the added SCell is unknown, yet another test case can be added e.g. with heading </w:t>
      </w:r>
      <w:r w:rsidR="00085F59" w:rsidRPr="00085F59">
        <w:rPr>
          <w:rFonts w:eastAsia="Times New Roman"/>
          <w:i/>
          <w:iCs/>
          <w:sz w:val="22"/>
          <w:szCs w:val="22"/>
          <w:lang w:eastAsia="ko-KR"/>
        </w:rPr>
        <w:t xml:space="preserve">“Direct Activation of </w:t>
      </w:r>
      <w:r w:rsidR="00085F59">
        <w:rPr>
          <w:rFonts w:eastAsia="Times New Roman"/>
          <w:i/>
          <w:iCs/>
          <w:sz w:val="22"/>
          <w:szCs w:val="22"/>
          <w:lang w:eastAsia="ko-KR"/>
        </w:rPr>
        <w:t>un</w:t>
      </w:r>
      <w:r w:rsidR="00085F59" w:rsidRPr="00085F59">
        <w:rPr>
          <w:rFonts w:eastAsia="Times New Roman"/>
          <w:i/>
          <w:iCs/>
          <w:sz w:val="22"/>
          <w:szCs w:val="22"/>
          <w:lang w:eastAsia="ko-KR"/>
        </w:rPr>
        <w:t>known SCell at SCell addition”</w:t>
      </w:r>
      <w:r w:rsidR="00085F59">
        <w:rPr>
          <w:rFonts w:eastAsia="Times New Roman"/>
          <w:sz w:val="22"/>
          <w:szCs w:val="22"/>
          <w:lang w:eastAsia="ko-KR"/>
        </w:rPr>
        <w:t>.</w:t>
      </w:r>
      <w:r>
        <w:rPr>
          <w:rFonts w:eastAsia="Times New Roman"/>
          <w:sz w:val="22"/>
          <w:szCs w:val="22"/>
          <w:lang w:eastAsia="ko-KR"/>
        </w:rPr>
        <w:t xml:space="preserve"> Companies are encouraged to provide their views on whether a test case is needed also for the unknown SCell cas</w:t>
      </w:r>
      <w:r w:rsidR="0031715A">
        <w:rPr>
          <w:rFonts w:eastAsia="Times New Roman"/>
          <w:sz w:val="22"/>
          <w:szCs w:val="22"/>
          <w:lang w:eastAsia="ko-KR"/>
        </w:rPr>
        <w:t>e</w:t>
      </w:r>
      <w:r>
        <w:rPr>
          <w:rFonts w:eastAsia="Times New Roman"/>
          <w:sz w:val="22"/>
          <w:szCs w:val="22"/>
          <w:lang w:eastAsia="ko-KR"/>
        </w:rPr>
        <w:t>.</w:t>
      </w:r>
    </w:p>
    <w:p w14:paraId="7FA9918A" w14:textId="274166BA" w:rsidR="006C1C36" w:rsidRDefault="006C1C36" w:rsidP="0093067B">
      <w:pPr>
        <w:spacing w:after="0"/>
        <w:rPr>
          <w:rFonts w:eastAsia="Times New Roman"/>
          <w:sz w:val="22"/>
          <w:szCs w:val="22"/>
          <w:lang w:eastAsia="ko-KR"/>
        </w:rPr>
      </w:pPr>
    </w:p>
    <w:p w14:paraId="130EB056" w14:textId="6A2FC9EB" w:rsidR="006C1C36" w:rsidRDefault="006C1C36" w:rsidP="0093067B">
      <w:pPr>
        <w:spacing w:after="0"/>
        <w:rPr>
          <w:rFonts w:eastAsia="Times New Roman"/>
          <w:color w:val="4F81BD" w:themeColor="accent1"/>
          <w:sz w:val="22"/>
          <w:szCs w:val="22"/>
          <w:lang w:eastAsia="ko-KR"/>
        </w:rPr>
      </w:pPr>
      <w:r w:rsidRPr="006C1C36">
        <w:rPr>
          <w:rFonts w:eastAsia="Times New Roman"/>
          <w:b/>
          <w:bCs/>
          <w:color w:val="4F81BD" w:themeColor="accent1"/>
          <w:sz w:val="22"/>
          <w:szCs w:val="22"/>
          <w:lang w:eastAsia="ko-KR"/>
        </w:rPr>
        <w:t xml:space="preserve">Proposal </w:t>
      </w:r>
      <w:r w:rsidR="0048183B">
        <w:rPr>
          <w:rFonts w:eastAsia="Times New Roman"/>
          <w:b/>
          <w:bCs/>
          <w:color w:val="4F81BD" w:themeColor="accent1"/>
          <w:sz w:val="22"/>
          <w:szCs w:val="22"/>
          <w:lang w:eastAsia="ko-KR"/>
        </w:rPr>
        <w:t>2</w:t>
      </w:r>
      <w:r w:rsidRPr="006C1C36">
        <w:rPr>
          <w:rFonts w:eastAsia="Times New Roman"/>
          <w:b/>
          <w:bCs/>
          <w:color w:val="4F81BD" w:themeColor="accent1"/>
          <w:sz w:val="22"/>
          <w:szCs w:val="22"/>
          <w:lang w:eastAsia="ko-KR"/>
        </w:rPr>
        <w:t>:</w:t>
      </w:r>
      <w:r w:rsidRPr="006C1C36">
        <w:rPr>
          <w:rFonts w:eastAsia="Times New Roman"/>
          <w:color w:val="4F81BD" w:themeColor="accent1"/>
          <w:sz w:val="22"/>
          <w:szCs w:val="22"/>
          <w:lang w:eastAsia="ko-KR"/>
        </w:rPr>
        <w:t xml:space="preserve"> </w:t>
      </w:r>
      <w:r w:rsidRPr="00CE6153">
        <w:rPr>
          <w:rFonts w:eastAsia="Times New Roman"/>
          <w:sz w:val="22"/>
          <w:szCs w:val="22"/>
          <w:lang w:eastAsia="ko-KR"/>
        </w:rPr>
        <w:t xml:space="preserve">RAN4 </w:t>
      </w:r>
      <w:r w:rsidR="0031715A" w:rsidRPr="00CE6153">
        <w:rPr>
          <w:rFonts w:eastAsia="Times New Roman"/>
          <w:sz w:val="22"/>
          <w:szCs w:val="22"/>
          <w:lang w:eastAsia="ko-KR"/>
        </w:rPr>
        <w:t>t</w:t>
      </w:r>
      <w:r w:rsidRPr="00CE6153">
        <w:rPr>
          <w:rFonts w:eastAsia="Times New Roman"/>
          <w:sz w:val="22"/>
          <w:szCs w:val="22"/>
          <w:lang w:eastAsia="ko-KR"/>
        </w:rPr>
        <w:t>o agree on whether to cover only known SCell case or both known and unknown SCell cases by test cases for Direct SCell Activation.</w:t>
      </w:r>
      <w:r w:rsidR="0031715A" w:rsidRPr="00CE6153">
        <w:rPr>
          <w:rFonts w:eastAsia="Times New Roman"/>
          <w:sz w:val="22"/>
          <w:szCs w:val="22"/>
          <w:lang w:eastAsia="ko-KR"/>
        </w:rPr>
        <w:t xml:space="preserve"> If test cases need to be extended to cover both cases, same sourcing company is assumed for both cases.</w:t>
      </w:r>
    </w:p>
    <w:p w14:paraId="22929A68" w14:textId="4A7E26F0" w:rsidR="002F4BC1" w:rsidRDefault="002F4BC1" w:rsidP="0093067B">
      <w:pPr>
        <w:spacing w:after="0"/>
        <w:rPr>
          <w:rFonts w:eastAsia="Times New Roman"/>
          <w:color w:val="4F81BD" w:themeColor="accent1"/>
          <w:sz w:val="22"/>
          <w:szCs w:val="22"/>
          <w:lang w:eastAsia="ko-KR"/>
        </w:rPr>
      </w:pPr>
    </w:p>
    <w:p w14:paraId="746C5464" w14:textId="1A6FB6A9" w:rsidR="00EA6E5B" w:rsidRDefault="00123935" w:rsidP="0093067B">
      <w:pPr>
        <w:spacing w:after="0"/>
        <w:rPr>
          <w:rFonts w:eastAsia="Times New Roman"/>
          <w:sz w:val="22"/>
          <w:szCs w:val="22"/>
          <w:lang w:eastAsia="ko-KR"/>
        </w:rPr>
      </w:pPr>
      <w:r>
        <w:rPr>
          <w:rFonts w:eastAsia="Times New Roman"/>
          <w:sz w:val="22"/>
          <w:szCs w:val="22"/>
          <w:lang w:eastAsia="ko-KR"/>
        </w:rPr>
        <w:t xml:space="preserve">The test case is defined as follows. There are two time periods T1 and T2. </w:t>
      </w:r>
      <w:r w:rsidR="00EA6E5B">
        <w:rPr>
          <w:rFonts w:eastAsia="Times New Roman"/>
          <w:sz w:val="22"/>
          <w:szCs w:val="22"/>
          <w:lang w:eastAsia="ko-KR"/>
        </w:rPr>
        <w:t>B</w:t>
      </w:r>
      <w:r>
        <w:rPr>
          <w:rFonts w:eastAsia="Times New Roman"/>
          <w:sz w:val="22"/>
          <w:szCs w:val="22"/>
          <w:lang w:eastAsia="ko-KR"/>
        </w:rPr>
        <w:t xml:space="preserve">efore T1, the UE is connected to </w:t>
      </w:r>
      <w:r w:rsidR="00EA6E5B">
        <w:rPr>
          <w:rFonts w:eastAsia="Times New Roman"/>
          <w:sz w:val="22"/>
          <w:szCs w:val="22"/>
          <w:lang w:eastAsia="ko-KR"/>
        </w:rPr>
        <w:t>PCell only, and not aware of Cell 2, the SCell to-be. At T1, the UE is configured with inter-frequency measurements and detects, identifies and periodically measures Cell 2 as an inter-frequency neighbour cell. At T2, the UE is configured with Cell 2 as SCell in active state, by which the UE shall carry out direct activation upon SCell addition and meet the activation delay requirement in clause 8.3.4.</w:t>
      </w:r>
      <w:r w:rsidR="00503D18">
        <w:rPr>
          <w:rFonts w:eastAsia="Times New Roman"/>
          <w:sz w:val="22"/>
          <w:szCs w:val="22"/>
          <w:lang w:eastAsia="ko-KR"/>
        </w:rPr>
        <w:t xml:space="preserve"> The test equipment verifies the activation delay by checking when, after start of T2, the UE starts to report non-zero CQI for the added and directly activated SCell.</w:t>
      </w:r>
    </w:p>
    <w:p w14:paraId="490F43AD" w14:textId="77777777" w:rsidR="00FB1365" w:rsidRPr="00265DE2" w:rsidRDefault="00FB1365" w:rsidP="00FB1365">
      <w:pPr>
        <w:spacing w:after="0"/>
        <w:rPr>
          <w:rFonts w:asciiTheme="minorHAnsi" w:eastAsia="Times New Roman" w:hAnsiTheme="minorHAnsi" w:cstheme="minorHAnsi"/>
          <w:lang w:eastAsia="ko-KR"/>
        </w:rPr>
      </w:pPr>
    </w:p>
    <w:p w14:paraId="28476FB4" w14:textId="30EA71A0" w:rsidR="00D1502B" w:rsidRPr="00503D18" w:rsidRDefault="00D865DC" w:rsidP="00503D18">
      <w:pPr>
        <w:pStyle w:val="Heading1"/>
        <w:ind w:left="431" w:hanging="431"/>
        <w:rPr>
          <w:szCs w:val="36"/>
          <w:lang w:val="en-CA"/>
        </w:rPr>
      </w:pPr>
      <w:r>
        <w:rPr>
          <w:szCs w:val="36"/>
          <w:lang w:val="en-CA"/>
        </w:rPr>
        <w:lastRenderedPageBreak/>
        <w:t>Summary and Conclusion</w:t>
      </w:r>
    </w:p>
    <w:p w14:paraId="1DE88AD2" w14:textId="730A2175" w:rsidR="00CE6153" w:rsidRPr="00CE6153" w:rsidRDefault="00CE6153" w:rsidP="00CE6153">
      <w:pPr>
        <w:rPr>
          <w:rFonts w:eastAsia="Times New Roman"/>
          <w:color w:val="4F81BD" w:themeColor="accent1"/>
          <w:sz w:val="22"/>
          <w:szCs w:val="22"/>
          <w:lang w:eastAsia="ko-KR"/>
        </w:rPr>
      </w:pPr>
      <w:r w:rsidRPr="00CE6153">
        <w:rPr>
          <w:rFonts w:eastAsia="Times New Roman"/>
          <w:sz w:val="22"/>
          <w:szCs w:val="22"/>
          <w:lang w:eastAsia="ko-KR"/>
        </w:rPr>
        <w:t>In this contribution we have provide</w:t>
      </w:r>
      <w:r>
        <w:rPr>
          <w:rFonts w:eastAsia="Times New Roman"/>
          <w:sz w:val="22"/>
          <w:szCs w:val="22"/>
          <w:lang w:eastAsia="ko-KR"/>
        </w:rPr>
        <w:t>d some information on TC3 for Direct SCell activation. The following proposals are made:</w:t>
      </w:r>
    </w:p>
    <w:p w14:paraId="610E3295" w14:textId="1541F1DE" w:rsidR="00503D18" w:rsidRDefault="00503D18" w:rsidP="00503D18">
      <w:pPr>
        <w:spacing w:after="0"/>
        <w:rPr>
          <w:rFonts w:eastAsia="Times New Roman"/>
          <w:color w:val="4F81BD" w:themeColor="accent1"/>
          <w:sz w:val="22"/>
          <w:szCs w:val="22"/>
          <w:lang w:eastAsia="ko-KR"/>
        </w:rPr>
      </w:pPr>
      <w:r w:rsidRPr="006C1C36">
        <w:rPr>
          <w:rFonts w:eastAsia="Times New Roman"/>
          <w:b/>
          <w:bCs/>
          <w:color w:val="4F81BD" w:themeColor="accent1"/>
          <w:sz w:val="22"/>
          <w:szCs w:val="22"/>
          <w:lang w:eastAsia="ko-KR"/>
        </w:rPr>
        <w:t xml:space="preserve">Proposal </w:t>
      </w:r>
      <w:r>
        <w:rPr>
          <w:rFonts w:eastAsia="Times New Roman"/>
          <w:b/>
          <w:bCs/>
          <w:color w:val="4F81BD" w:themeColor="accent1"/>
          <w:sz w:val="22"/>
          <w:szCs w:val="22"/>
          <w:lang w:eastAsia="ko-KR"/>
        </w:rPr>
        <w:t>1</w:t>
      </w:r>
      <w:r w:rsidRPr="006C1C36">
        <w:rPr>
          <w:rFonts w:eastAsia="Times New Roman"/>
          <w:b/>
          <w:bCs/>
          <w:color w:val="4F81BD" w:themeColor="accent1"/>
          <w:sz w:val="22"/>
          <w:szCs w:val="22"/>
          <w:lang w:eastAsia="ko-KR"/>
        </w:rPr>
        <w:t>:</w:t>
      </w:r>
      <w:r w:rsidRPr="006C1C36">
        <w:rPr>
          <w:rFonts w:eastAsia="Times New Roman"/>
          <w:color w:val="4F81BD" w:themeColor="accent1"/>
          <w:sz w:val="22"/>
          <w:szCs w:val="22"/>
          <w:lang w:eastAsia="ko-KR"/>
        </w:rPr>
        <w:t xml:space="preserve"> </w:t>
      </w:r>
      <w:r w:rsidRPr="00CE6153">
        <w:rPr>
          <w:rFonts w:eastAsia="Times New Roman"/>
          <w:sz w:val="22"/>
          <w:szCs w:val="22"/>
          <w:lang w:eastAsia="ko-KR"/>
        </w:rPr>
        <w:t>RAN4 to agree on whether test cases for Direct SCell Activation shall test only activation delay, or both activation delay and interruption requirement.</w:t>
      </w:r>
    </w:p>
    <w:p w14:paraId="489AFE8A" w14:textId="77777777" w:rsidR="00503D18" w:rsidRPr="0048183B" w:rsidRDefault="00503D18" w:rsidP="00503D18">
      <w:pPr>
        <w:spacing w:after="0"/>
        <w:rPr>
          <w:rFonts w:eastAsia="Times New Roman"/>
          <w:color w:val="4F81BD" w:themeColor="accent1"/>
          <w:sz w:val="22"/>
          <w:szCs w:val="22"/>
          <w:lang w:eastAsia="ko-KR"/>
        </w:rPr>
      </w:pPr>
    </w:p>
    <w:p w14:paraId="53845D24" w14:textId="66B2864E" w:rsidR="00D1502B" w:rsidRDefault="00503D18" w:rsidP="00D1502B">
      <w:pPr>
        <w:spacing w:after="0"/>
        <w:rPr>
          <w:rFonts w:eastAsia="Times New Roman"/>
          <w:sz w:val="22"/>
          <w:szCs w:val="22"/>
          <w:lang w:eastAsia="ko-KR"/>
        </w:rPr>
      </w:pPr>
      <w:r w:rsidRPr="006C1C36">
        <w:rPr>
          <w:rFonts w:eastAsia="Times New Roman"/>
          <w:b/>
          <w:bCs/>
          <w:color w:val="4F81BD" w:themeColor="accent1"/>
          <w:sz w:val="22"/>
          <w:szCs w:val="22"/>
          <w:lang w:eastAsia="ko-KR"/>
        </w:rPr>
        <w:t xml:space="preserve">Proposal </w:t>
      </w:r>
      <w:r>
        <w:rPr>
          <w:rFonts w:eastAsia="Times New Roman"/>
          <w:b/>
          <w:bCs/>
          <w:color w:val="4F81BD" w:themeColor="accent1"/>
          <w:sz w:val="22"/>
          <w:szCs w:val="22"/>
          <w:lang w:eastAsia="ko-KR"/>
        </w:rPr>
        <w:t>2</w:t>
      </w:r>
      <w:r w:rsidRPr="006C1C36">
        <w:rPr>
          <w:rFonts w:eastAsia="Times New Roman"/>
          <w:b/>
          <w:bCs/>
          <w:color w:val="4F81BD" w:themeColor="accent1"/>
          <w:sz w:val="22"/>
          <w:szCs w:val="22"/>
          <w:lang w:eastAsia="ko-KR"/>
        </w:rPr>
        <w:t>:</w:t>
      </w:r>
      <w:r w:rsidRPr="006C1C36">
        <w:rPr>
          <w:rFonts w:eastAsia="Times New Roman"/>
          <w:color w:val="4F81BD" w:themeColor="accent1"/>
          <w:sz w:val="22"/>
          <w:szCs w:val="22"/>
          <w:lang w:eastAsia="ko-KR"/>
        </w:rPr>
        <w:t xml:space="preserve"> </w:t>
      </w:r>
      <w:r w:rsidRPr="00CE6153">
        <w:rPr>
          <w:rFonts w:eastAsia="Times New Roman"/>
          <w:sz w:val="22"/>
          <w:szCs w:val="22"/>
          <w:lang w:eastAsia="ko-KR"/>
        </w:rPr>
        <w:t>RAN4 to agree on whether to cover only known SCell case or both known and unknown SCell cases by test cases for Direct SCell Activation. If test cases need to be extended to cover both cases, same sourcing company is assumed for both cases.</w:t>
      </w:r>
    </w:p>
    <w:p w14:paraId="69D74177" w14:textId="01F757FD" w:rsidR="00CE6153" w:rsidRDefault="00CE6153" w:rsidP="00D1502B">
      <w:pPr>
        <w:spacing w:after="0"/>
        <w:rPr>
          <w:rFonts w:eastAsia="Times New Roman"/>
          <w:sz w:val="22"/>
          <w:szCs w:val="22"/>
          <w:lang w:eastAsia="ko-KR"/>
        </w:rPr>
      </w:pPr>
    </w:p>
    <w:p w14:paraId="08F72BA7" w14:textId="16D8455B" w:rsidR="00CE6153" w:rsidRPr="00503D18" w:rsidRDefault="00CE6153" w:rsidP="00D1502B">
      <w:pPr>
        <w:spacing w:after="0"/>
        <w:rPr>
          <w:rFonts w:eastAsia="Times New Roman"/>
          <w:color w:val="4F81BD" w:themeColor="accent1"/>
          <w:sz w:val="22"/>
          <w:szCs w:val="22"/>
          <w:lang w:eastAsia="ko-KR"/>
        </w:rPr>
      </w:pPr>
      <w:r>
        <w:rPr>
          <w:rFonts w:eastAsia="Times New Roman"/>
          <w:sz w:val="22"/>
          <w:szCs w:val="22"/>
          <w:lang w:eastAsia="ko-KR"/>
        </w:rPr>
        <w:t xml:space="preserve">A draft CR with the test case is provided in </w:t>
      </w:r>
      <w:r>
        <w:rPr>
          <w:rFonts w:eastAsia="Times New Roman"/>
          <w:sz w:val="22"/>
          <w:szCs w:val="22"/>
          <w:lang w:eastAsia="ko-KR"/>
        </w:rPr>
        <w:fldChar w:fldCharType="begin"/>
      </w:r>
      <w:r>
        <w:rPr>
          <w:rFonts w:eastAsia="Times New Roman"/>
          <w:sz w:val="22"/>
          <w:szCs w:val="22"/>
          <w:lang w:eastAsia="ko-KR"/>
        </w:rPr>
        <w:instrText xml:space="preserve"> REF _Ref60740739 \r \h </w:instrText>
      </w:r>
      <w:r>
        <w:rPr>
          <w:rFonts w:eastAsia="Times New Roman"/>
          <w:sz w:val="22"/>
          <w:szCs w:val="22"/>
          <w:lang w:eastAsia="ko-KR"/>
        </w:rPr>
      </w:r>
      <w:r>
        <w:rPr>
          <w:rFonts w:eastAsia="Times New Roman"/>
          <w:sz w:val="22"/>
          <w:szCs w:val="22"/>
          <w:lang w:eastAsia="ko-KR"/>
        </w:rPr>
        <w:fldChar w:fldCharType="separate"/>
      </w:r>
      <w:r>
        <w:rPr>
          <w:rFonts w:eastAsia="Times New Roman"/>
          <w:sz w:val="22"/>
          <w:szCs w:val="22"/>
          <w:lang w:eastAsia="ko-KR"/>
        </w:rPr>
        <w:t>[2]</w:t>
      </w:r>
      <w:r>
        <w:rPr>
          <w:rFonts w:eastAsia="Times New Roman"/>
          <w:sz w:val="22"/>
          <w:szCs w:val="22"/>
          <w:lang w:eastAsia="ko-KR"/>
        </w:rPr>
        <w:fldChar w:fldCharType="end"/>
      </w:r>
      <w:r>
        <w:rPr>
          <w:rFonts w:eastAsia="Times New Roman"/>
          <w:sz w:val="22"/>
          <w:szCs w:val="22"/>
          <w:lang w:eastAsia="ko-KR"/>
        </w:rPr>
        <w:t>.</w:t>
      </w: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3" w:name="_Ref536781364"/>
      <w:bookmarkStart w:id="4" w:name="_Ref517094573"/>
      <w:bookmarkStart w:id="5" w:name="_Ref536781239"/>
      <w:bookmarkEnd w:id="1"/>
      <w:bookmarkEnd w:id="2"/>
    </w:p>
    <w:p w14:paraId="18BE7149" w14:textId="5776A838" w:rsidR="003F65E1" w:rsidRDefault="00E97037" w:rsidP="000D717D">
      <w:pPr>
        <w:numPr>
          <w:ilvl w:val="0"/>
          <w:numId w:val="9"/>
        </w:numPr>
        <w:tabs>
          <w:tab w:val="left" w:pos="851"/>
        </w:tabs>
        <w:rPr>
          <w:rFonts w:ascii="Arial" w:hAnsi="Arial" w:cs="Arial"/>
          <w:sz w:val="22"/>
          <w:szCs w:val="22"/>
          <w:lang w:val="en-CA"/>
        </w:rPr>
      </w:pPr>
      <w:bookmarkStart w:id="6" w:name="_Ref60740299"/>
      <w:bookmarkEnd w:id="3"/>
      <w:bookmarkEnd w:id="4"/>
      <w:bookmarkEnd w:id="5"/>
      <w:r>
        <w:rPr>
          <w:rFonts w:ascii="Arial" w:hAnsi="Arial" w:cs="Arial"/>
          <w:sz w:val="22"/>
          <w:szCs w:val="22"/>
          <w:lang w:val="en-CA"/>
        </w:rPr>
        <w:t>R4-</w:t>
      </w:r>
      <w:r w:rsidR="00CF7E5B">
        <w:rPr>
          <w:rFonts w:ascii="Arial" w:hAnsi="Arial" w:cs="Arial"/>
          <w:sz w:val="22"/>
          <w:szCs w:val="22"/>
          <w:lang w:val="en-CA"/>
        </w:rPr>
        <w:t>2017130 “</w:t>
      </w:r>
      <w:r w:rsidR="00CF7E5B" w:rsidRPr="00CF7E5B">
        <w:rPr>
          <w:rFonts w:ascii="Arial" w:hAnsi="Arial" w:cs="Arial"/>
          <w:sz w:val="22"/>
          <w:szCs w:val="22"/>
          <w:lang w:val="en-CA"/>
        </w:rPr>
        <w:t>Way Forward on Test Cases for Direct SCell Activation and SCell Dormancy</w:t>
      </w:r>
      <w:r w:rsidR="00CF7E5B">
        <w:rPr>
          <w:rFonts w:ascii="Arial" w:hAnsi="Arial" w:cs="Arial"/>
          <w:sz w:val="22"/>
          <w:szCs w:val="22"/>
          <w:lang w:val="en-CA"/>
        </w:rPr>
        <w:t>”, Ericsson</w:t>
      </w:r>
      <w:bookmarkEnd w:id="6"/>
    </w:p>
    <w:p w14:paraId="7E205BD5" w14:textId="6A75B2BD" w:rsidR="00D360AA" w:rsidRPr="00D360AA" w:rsidRDefault="00D360AA" w:rsidP="00D360AA">
      <w:pPr>
        <w:numPr>
          <w:ilvl w:val="0"/>
          <w:numId w:val="9"/>
        </w:numPr>
        <w:tabs>
          <w:tab w:val="left" w:pos="851"/>
        </w:tabs>
        <w:rPr>
          <w:rFonts w:ascii="Arial" w:hAnsi="Arial" w:cs="Arial"/>
          <w:sz w:val="22"/>
          <w:szCs w:val="22"/>
          <w:lang w:val="en-CA"/>
        </w:rPr>
      </w:pPr>
      <w:bookmarkStart w:id="7" w:name="_Ref60740739"/>
      <w:r>
        <w:rPr>
          <w:rFonts w:ascii="Arial" w:hAnsi="Arial" w:cs="Arial"/>
          <w:sz w:val="22"/>
          <w:szCs w:val="22"/>
          <w:lang w:val="en-CA"/>
        </w:rPr>
        <w:t>R4-21</w:t>
      </w:r>
      <w:r w:rsidR="00EC6189">
        <w:rPr>
          <w:rFonts w:ascii="Arial" w:hAnsi="Arial" w:cs="Arial"/>
          <w:sz w:val="22"/>
          <w:szCs w:val="22"/>
          <w:lang w:val="en-CA"/>
        </w:rPr>
        <w:t>02358</w:t>
      </w:r>
      <w:r>
        <w:rPr>
          <w:rFonts w:ascii="Arial" w:hAnsi="Arial" w:cs="Arial"/>
          <w:sz w:val="22"/>
          <w:szCs w:val="22"/>
          <w:lang w:val="en-CA"/>
        </w:rPr>
        <w:t xml:space="preserve"> “</w:t>
      </w:r>
      <w:r w:rsidR="00EC6189" w:rsidRPr="00EC6189">
        <w:rPr>
          <w:rFonts w:ascii="Arial" w:hAnsi="Arial" w:cs="Arial"/>
          <w:sz w:val="22"/>
          <w:szCs w:val="22"/>
          <w:lang w:val="en-CA"/>
        </w:rPr>
        <w:t>DraftCR 38.133 TC3 Direct SCell activation</w:t>
      </w:r>
      <w:r>
        <w:rPr>
          <w:rFonts w:ascii="Arial" w:hAnsi="Arial" w:cs="Arial"/>
          <w:sz w:val="22"/>
          <w:szCs w:val="22"/>
          <w:lang w:val="en-CA"/>
        </w:rPr>
        <w:t>”, Ericsson</w:t>
      </w:r>
      <w:bookmarkEnd w:id="7"/>
    </w:p>
    <w:p w14:paraId="73C681CE" w14:textId="216EBEAA" w:rsidR="000D717D" w:rsidRDefault="000D717D" w:rsidP="000D717D">
      <w:pPr>
        <w:tabs>
          <w:tab w:val="left" w:pos="851"/>
        </w:tabs>
        <w:rPr>
          <w:rFonts w:ascii="Arial" w:hAnsi="Arial" w:cs="Arial"/>
          <w:sz w:val="22"/>
          <w:szCs w:val="22"/>
          <w:lang w:val="en-CA"/>
        </w:rPr>
      </w:pPr>
      <w:bookmarkStart w:id="8" w:name="_GoBack"/>
      <w:bookmarkEnd w:id="8"/>
    </w:p>
    <w:sectPr w:rsidR="000D717D"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0A114A" w14:textId="77777777" w:rsidR="00DB4B72" w:rsidRDefault="00DB4B72">
      <w:r>
        <w:separator/>
      </w:r>
    </w:p>
  </w:endnote>
  <w:endnote w:type="continuationSeparator" w:id="0">
    <w:p w14:paraId="21E1370F" w14:textId="77777777" w:rsidR="00DB4B72" w:rsidRDefault="00DB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74F59B" w14:textId="77777777" w:rsidR="00DB4B72" w:rsidRDefault="00DB4B72">
      <w:r>
        <w:separator/>
      </w:r>
    </w:p>
  </w:footnote>
  <w:footnote w:type="continuationSeparator" w:id="0">
    <w:p w14:paraId="4BA1A710" w14:textId="77777777" w:rsidR="00DB4B72" w:rsidRDefault="00DB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0354FA"/>
    <w:multiLevelType w:val="hybridMultilevel"/>
    <w:tmpl w:val="877AE314"/>
    <w:lvl w:ilvl="0" w:tplc="2A542256">
      <w:start w:val="1"/>
      <w:numFmt w:val="bullet"/>
      <w:lvlText w:val="•"/>
      <w:lvlJc w:val="left"/>
      <w:pPr>
        <w:tabs>
          <w:tab w:val="num" w:pos="720"/>
        </w:tabs>
        <w:ind w:left="720" w:hanging="360"/>
      </w:pPr>
      <w:rPr>
        <w:rFonts w:ascii="Arial" w:hAnsi="Arial" w:hint="default"/>
      </w:rPr>
    </w:lvl>
    <w:lvl w:ilvl="1" w:tplc="9F40C70A">
      <w:numFmt w:val="none"/>
      <w:lvlText w:val=""/>
      <w:lvlJc w:val="left"/>
      <w:pPr>
        <w:tabs>
          <w:tab w:val="num" w:pos="360"/>
        </w:tabs>
      </w:pPr>
    </w:lvl>
    <w:lvl w:ilvl="2" w:tplc="6D34BCF0" w:tentative="1">
      <w:start w:val="1"/>
      <w:numFmt w:val="bullet"/>
      <w:lvlText w:val="•"/>
      <w:lvlJc w:val="left"/>
      <w:pPr>
        <w:tabs>
          <w:tab w:val="num" w:pos="2160"/>
        </w:tabs>
        <w:ind w:left="2160" w:hanging="360"/>
      </w:pPr>
      <w:rPr>
        <w:rFonts w:ascii="Arial" w:hAnsi="Arial" w:hint="default"/>
      </w:rPr>
    </w:lvl>
    <w:lvl w:ilvl="3" w:tplc="C4ACA6B8" w:tentative="1">
      <w:start w:val="1"/>
      <w:numFmt w:val="bullet"/>
      <w:lvlText w:val="•"/>
      <w:lvlJc w:val="left"/>
      <w:pPr>
        <w:tabs>
          <w:tab w:val="num" w:pos="2880"/>
        </w:tabs>
        <w:ind w:left="2880" w:hanging="360"/>
      </w:pPr>
      <w:rPr>
        <w:rFonts w:ascii="Arial" w:hAnsi="Arial" w:hint="default"/>
      </w:rPr>
    </w:lvl>
    <w:lvl w:ilvl="4" w:tplc="864C9AC4" w:tentative="1">
      <w:start w:val="1"/>
      <w:numFmt w:val="bullet"/>
      <w:lvlText w:val="•"/>
      <w:lvlJc w:val="left"/>
      <w:pPr>
        <w:tabs>
          <w:tab w:val="num" w:pos="3600"/>
        </w:tabs>
        <w:ind w:left="3600" w:hanging="360"/>
      </w:pPr>
      <w:rPr>
        <w:rFonts w:ascii="Arial" w:hAnsi="Arial" w:hint="default"/>
      </w:rPr>
    </w:lvl>
    <w:lvl w:ilvl="5" w:tplc="FB00D4A4" w:tentative="1">
      <w:start w:val="1"/>
      <w:numFmt w:val="bullet"/>
      <w:lvlText w:val="•"/>
      <w:lvlJc w:val="left"/>
      <w:pPr>
        <w:tabs>
          <w:tab w:val="num" w:pos="4320"/>
        </w:tabs>
        <w:ind w:left="4320" w:hanging="360"/>
      </w:pPr>
      <w:rPr>
        <w:rFonts w:ascii="Arial" w:hAnsi="Arial" w:hint="default"/>
      </w:rPr>
    </w:lvl>
    <w:lvl w:ilvl="6" w:tplc="17A43146" w:tentative="1">
      <w:start w:val="1"/>
      <w:numFmt w:val="bullet"/>
      <w:lvlText w:val="•"/>
      <w:lvlJc w:val="left"/>
      <w:pPr>
        <w:tabs>
          <w:tab w:val="num" w:pos="5040"/>
        </w:tabs>
        <w:ind w:left="5040" w:hanging="360"/>
      </w:pPr>
      <w:rPr>
        <w:rFonts w:ascii="Arial" w:hAnsi="Arial" w:hint="default"/>
      </w:rPr>
    </w:lvl>
    <w:lvl w:ilvl="7" w:tplc="D384306A" w:tentative="1">
      <w:start w:val="1"/>
      <w:numFmt w:val="bullet"/>
      <w:lvlText w:val="•"/>
      <w:lvlJc w:val="left"/>
      <w:pPr>
        <w:tabs>
          <w:tab w:val="num" w:pos="5760"/>
        </w:tabs>
        <w:ind w:left="5760" w:hanging="360"/>
      </w:pPr>
      <w:rPr>
        <w:rFonts w:ascii="Arial" w:hAnsi="Arial" w:hint="default"/>
      </w:rPr>
    </w:lvl>
    <w:lvl w:ilvl="8" w:tplc="AB8E1B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514CF6"/>
    <w:multiLevelType w:val="hybridMultilevel"/>
    <w:tmpl w:val="4F861CC2"/>
    <w:lvl w:ilvl="0" w:tplc="882EE0D0">
      <w:start w:val="1"/>
      <w:numFmt w:val="bullet"/>
      <w:lvlText w:val="•"/>
      <w:lvlJc w:val="left"/>
      <w:pPr>
        <w:tabs>
          <w:tab w:val="num" w:pos="720"/>
        </w:tabs>
        <w:ind w:left="720" w:hanging="360"/>
      </w:pPr>
      <w:rPr>
        <w:rFonts w:ascii="Arial" w:hAnsi="Arial" w:hint="default"/>
      </w:rPr>
    </w:lvl>
    <w:lvl w:ilvl="1" w:tplc="46129696">
      <w:numFmt w:val="none"/>
      <w:lvlText w:val=""/>
      <w:lvlJc w:val="left"/>
      <w:pPr>
        <w:tabs>
          <w:tab w:val="num" w:pos="360"/>
        </w:tabs>
      </w:pPr>
    </w:lvl>
    <w:lvl w:ilvl="2" w:tplc="A22014AA">
      <w:start w:val="1"/>
      <w:numFmt w:val="bullet"/>
      <w:lvlText w:val="•"/>
      <w:lvlJc w:val="left"/>
      <w:pPr>
        <w:tabs>
          <w:tab w:val="num" w:pos="2160"/>
        </w:tabs>
        <w:ind w:left="2160" w:hanging="360"/>
      </w:pPr>
      <w:rPr>
        <w:rFonts w:ascii="Arial" w:hAnsi="Arial" w:hint="default"/>
      </w:rPr>
    </w:lvl>
    <w:lvl w:ilvl="3" w:tplc="3BD6EBC2" w:tentative="1">
      <w:start w:val="1"/>
      <w:numFmt w:val="bullet"/>
      <w:lvlText w:val="•"/>
      <w:lvlJc w:val="left"/>
      <w:pPr>
        <w:tabs>
          <w:tab w:val="num" w:pos="2880"/>
        </w:tabs>
        <w:ind w:left="2880" w:hanging="360"/>
      </w:pPr>
      <w:rPr>
        <w:rFonts w:ascii="Arial" w:hAnsi="Arial" w:hint="default"/>
      </w:rPr>
    </w:lvl>
    <w:lvl w:ilvl="4" w:tplc="03D6A1AC" w:tentative="1">
      <w:start w:val="1"/>
      <w:numFmt w:val="bullet"/>
      <w:lvlText w:val="•"/>
      <w:lvlJc w:val="left"/>
      <w:pPr>
        <w:tabs>
          <w:tab w:val="num" w:pos="3600"/>
        </w:tabs>
        <w:ind w:left="3600" w:hanging="360"/>
      </w:pPr>
      <w:rPr>
        <w:rFonts w:ascii="Arial" w:hAnsi="Arial" w:hint="default"/>
      </w:rPr>
    </w:lvl>
    <w:lvl w:ilvl="5" w:tplc="C2F47DFE" w:tentative="1">
      <w:start w:val="1"/>
      <w:numFmt w:val="bullet"/>
      <w:lvlText w:val="•"/>
      <w:lvlJc w:val="left"/>
      <w:pPr>
        <w:tabs>
          <w:tab w:val="num" w:pos="4320"/>
        </w:tabs>
        <w:ind w:left="4320" w:hanging="360"/>
      </w:pPr>
      <w:rPr>
        <w:rFonts w:ascii="Arial" w:hAnsi="Arial" w:hint="default"/>
      </w:rPr>
    </w:lvl>
    <w:lvl w:ilvl="6" w:tplc="05E690EC" w:tentative="1">
      <w:start w:val="1"/>
      <w:numFmt w:val="bullet"/>
      <w:lvlText w:val="•"/>
      <w:lvlJc w:val="left"/>
      <w:pPr>
        <w:tabs>
          <w:tab w:val="num" w:pos="5040"/>
        </w:tabs>
        <w:ind w:left="5040" w:hanging="360"/>
      </w:pPr>
      <w:rPr>
        <w:rFonts w:ascii="Arial" w:hAnsi="Arial" w:hint="default"/>
      </w:rPr>
    </w:lvl>
    <w:lvl w:ilvl="7" w:tplc="47DA0184" w:tentative="1">
      <w:start w:val="1"/>
      <w:numFmt w:val="bullet"/>
      <w:lvlText w:val="•"/>
      <w:lvlJc w:val="left"/>
      <w:pPr>
        <w:tabs>
          <w:tab w:val="num" w:pos="5760"/>
        </w:tabs>
        <w:ind w:left="5760" w:hanging="360"/>
      </w:pPr>
      <w:rPr>
        <w:rFonts w:ascii="Arial" w:hAnsi="Arial" w:hint="default"/>
      </w:rPr>
    </w:lvl>
    <w:lvl w:ilvl="8" w:tplc="9BC457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0"/>
  </w:num>
  <w:num w:numId="3">
    <w:abstractNumId w:val="9"/>
  </w:num>
  <w:num w:numId="4">
    <w:abstractNumId w:val="4"/>
  </w:num>
  <w:num w:numId="5">
    <w:abstractNumId w:val="5"/>
  </w:num>
  <w:num w:numId="6">
    <w:abstractNumId w:val="1"/>
  </w:num>
  <w:num w:numId="7">
    <w:abstractNumId w:val="0"/>
  </w:num>
  <w:num w:numId="8">
    <w:abstractNumId w:val="11"/>
  </w:num>
  <w:num w:numId="9">
    <w:abstractNumId w:val="6"/>
  </w:num>
  <w:num w:numId="10">
    <w:abstractNumId w:val="8"/>
  </w:num>
  <w:num w:numId="11">
    <w:abstractNumId w:val="3"/>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AE2"/>
    <w:rsid w:val="00070B4E"/>
    <w:rsid w:val="0007105D"/>
    <w:rsid w:val="00071066"/>
    <w:rsid w:val="0007129F"/>
    <w:rsid w:val="0007169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411F"/>
    <w:rsid w:val="0008547F"/>
    <w:rsid w:val="00085C0D"/>
    <w:rsid w:val="00085F59"/>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935"/>
    <w:rsid w:val="00123A2E"/>
    <w:rsid w:val="001243FE"/>
    <w:rsid w:val="00124441"/>
    <w:rsid w:val="00125D6F"/>
    <w:rsid w:val="00126EB9"/>
    <w:rsid w:val="00126FC2"/>
    <w:rsid w:val="001276CA"/>
    <w:rsid w:val="0013019C"/>
    <w:rsid w:val="00131312"/>
    <w:rsid w:val="00131978"/>
    <w:rsid w:val="00131A3B"/>
    <w:rsid w:val="0013223E"/>
    <w:rsid w:val="001346C3"/>
    <w:rsid w:val="001352B7"/>
    <w:rsid w:val="00135633"/>
    <w:rsid w:val="00135653"/>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97A04"/>
    <w:rsid w:val="001A07E5"/>
    <w:rsid w:val="001A129D"/>
    <w:rsid w:val="001A1CB8"/>
    <w:rsid w:val="001A2052"/>
    <w:rsid w:val="001A21FD"/>
    <w:rsid w:val="001A409E"/>
    <w:rsid w:val="001A439C"/>
    <w:rsid w:val="001A4E3B"/>
    <w:rsid w:val="001A4F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61A"/>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4B8"/>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C52"/>
    <w:rsid w:val="00240F42"/>
    <w:rsid w:val="002412A4"/>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1B3B"/>
    <w:rsid w:val="002F230E"/>
    <w:rsid w:val="002F29CF"/>
    <w:rsid w:val="002F33E7"/>
    <w:rsid w:val="002F37D6"/>
    <w:rsid w:val="002F4BBD"/>
    <w:rsid w:val="002F4BC1"/>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15A"/>
    <w:rsid w:val="00317C3D"/>
    <w:rsid w:val="00317CFC"/>
    <w:rsid w:val="00317EBA"/>
    <w:rsid w:val="0032080E"/>
    <w:rsid w:val="00320934"/>
    <w:rsid w:val="00320A15"/>
    <w:rsid w:val="00320BBB"/>
    <w:rsid w:val="003212E5"/>
    <w:rsid w:val="0032236C"/>
    <w:rsid w:val="00323216"/>
    <w:rsid w:val="003232FC"/>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E44"/>
    <w:rsid w:val="003709A3"/>
    <w:rsid w:val="00370AFC"/>
    <w:rsid w:val="00370E88"/>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B0D"/>
    <w:rsid w:val="003A2274"/>
    <w:rsid w:val="003A2976"/>
    <w:rsid w:val="003A33DC"/>
    <w:rsid w:val="003A3CB9"/>
    <w:rsid w:val="003A452F"/>
    <w:rsid w:val="003A4768"/>
    <w:rsid w:val="003A4F26"/>
    <w:rsid w:val="003A502C"/>
    <w:rsid w:val="003A5394"/>
    <w:rsid w:val="003A53D7"/>
    <w:rsid w:val="003A6015"/>
    <w:rsid w:val="003A64DF"/>
    <w:rsid w:val="003A6AEA"/>
    <w:rsid w:val="003A6B31"/>
    <w:rsid w:val="003A7592"/>
    <w:rsid w:val="003A7DD5"/>
    <w:rsid w:val="003B01ED"/>
    <w:rsid w:val="003B0864"/>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2A7B"/>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4C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83B"/>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E1"/>
    <w:rsid w:val="004C646F"/>
    <w:rsid w:val="004C6B08"/>
    <w:rsid w:val="004C7B2F"/>
    <w:rsid w:val="004D01DA"/>
    <w:rsid w:val="004D0A57"/>
    <w:rsid w:val="004D18FF"/>
    <w:rsid w:val="004D1A44"/>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4910"/>
    <w:rsid w:val="004E5449"/>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D18"/>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4221"/>
    <w:rsid w:val="006B51B9"/>
    <w:rsid w:val="006B53B0"/>
    <w:rsid w:val="006B658D"/>
    <w:rsid w:val="006B73BC"/>
    <w:rsid w:val="006B7A80"/>
    <w:rsid w:val="006B7BCD"/>
    <w:rsid w:val="006C0138"/>
    <w:rsid w:val="006C10DC"/>
    <w:rsid w:val="006C15BB"/>
    <w:rsid w:val="006C16C8"/>
    <w:rsid w:val="006C1A4B"/>
    <w:rsid w:val="006C1B58"/>
    <w:rsid w:val="006C1C36"/>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4A0E"/>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22E"/>
    <w:rsid w:val="0094038D"/>
    <w:rsid w:val="00941AF4"/>
    <w:rsid w:val="00941B9E"/>
    <w:rsid w:val="0094239C"/>
    <w:rsid w:val="009425BF"/>
    <w:rsid w:val="009427DA"/>
    <w:rsid w:val="00942828"/>
    <w:rsid w:val="00942ADB"/>
    <w:rsid w:val="00942B88"/>
    <w:rsid w:val="00943B42"/>
    <w:rsid w:val="00943D57"/>
    <w:rsid w:val="00943DD6"/>
    <w:rsid w:val="00944319"/>
    <w:rsid w:val="00945B4B"/>
    <w:rsid w:val="00945B53"/>
    <w:rsid w:val="0094642C"/>
    <w:rsid w:val="009469CC"/>
    <w:rsid w:val="00946CE4"/>
    <w:rsid w:val="00946E1F"/>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504"/>
    <w:rsid w:val="0096260F"/>
    <w:rsid w:val="0096266E"/>
    <w:rsid w:val="009626C2"/>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5A9"/>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C4A"/>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79D"/>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53B"/>
    <w:rsid w:val="00B479B4"/>
    <w:rsid w:val="00B47C82"/>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A75"/>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49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5"/>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927"/>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153"/>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5B"/>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0AA"/>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624"/>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4B72"/>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37"/>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6E5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618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21F"/>
    <w:rsid w:val="00EF2DD9"/>
    <w:rsid w:val="00EF3337"/>
    <w:rsid w:val="00EF3F91"/>
    <w:rsid w:val="00EF485F"/>
    <w:rsid w:val="00EF60D4"/>
    <w:rsid w:val="00EF65FD"/>
    <w:rsid w:val="00EF6AA9"/>
    <w:rsid w:val="00EF6BDA"/>
    <w:rsid w:val="00EF70B2"/>
    <w:rsid w:val="00EF7AD4"/>
    <w:rsid w:val="00EF7D7F"/>
    <w:rsid w:val="00F00016"/>
    <w:rsid w:val="00F00020"/>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32344409">
      <w:bodyDiv w:val="1"/>
      <w:marLeft w:val="0"/>
      <w:marRight w:val="0"/>
      <w:marTop w:val="0"/>
      <w:marBottom w:val="0"/>
      <w:divBdr>
        <w:top w:val="none" w:sz="0" w:space="0" w:color="auto"/>
        <w:left w:val="none" w:sz="0" w:space="0" w:color="auto"/>
        <w:bottom w:val="none" w:sz="0" w:space="0" w:color="auto"/>
        <w:right w:val="none" w:sz="0" w:space="0" w:color="auto"/>
      </w:divBdr>
      <w:divsChild>
        <w:div w:id="808016540">
          <w:marLeft w:val="360"/>
          <w:marRight w:val="0"/>
          <w:marTop w:val="200"/>
          <w:marBottom w:val="0"/>
          <w:divBdr>
            <w:top w:val="none" w:sz="0" w:space="0" w:color="auto"/>
            <w:left w:val="none" w:sz="0" w:space="0" w:color="auto"/>
            <w:bottom w:val="none" w:sz="0" w:space="0" w:color="auto"/>
            <w:right w:val="none" w:sz="0" w:space="0" w:color="auto"/>
          </w:divBdr>
        </w:div>
        <w:div w:id="94712896">
          <w:marLeft w:val="1080"/>
          <w:marRight w:val="0"/>
          <w:marTop w:val="100"/>
          <w:marBottom w:val="0"/>
          <w:divBdr>
            <w:top w:val="none" w:sz="0" w:space="0" w:color="auto"/>
            <w:left w:val="none" w:sz="0" w:space="0" w:color="auto"/>
            <w:bottom w:val="none" w:sz="0" w:space="0" w:color="auto"/>
            <w:right w:val="none" w:sz="0" w:space="0" w:color="auto"/>
          </w:divBdr>
        </w:div>
      </w:divsChild>
    </w:div>
    <w:div w:id="360056271">
      <w:bodyDiv w:val="1"/>
      <w:marLeft w:val="0"/>
      <w:marRight w:val="0"/>
      <w:marTop w:val="0"/>
      <w:marBottom w:val="0"/>
      <w:divBdr>
        <w:top w:val="none" w:sz="0" w:space="0" w:color="auto"/>
        <w:left w:val="none" w:sz="0" w:space="0" w:color="auto"/>
        <w:bottom w:val="none" w:sz="0" w:space="0" w:color="auto"/>
        <w:right w:val="none" w:sz="0" w:space="0" w:color="auto"/>
      </w:divBdr>
      <w:divsChild>
        <w:div w:id="1681616964">
          <w:marLeft w:val="360"/>
          <w:marRight w:val="0"/>
          <w:marTop w:val="200"/>
          <w:marBottom w:val="0"/>
          <w:divBdr>
            <w:top w:val="none" w:sz="0" w:space="0" w:color="auto"/>
            <w:left w:val="none" w:sz="0" w:space="0" w:color="auto"/>
            <w:bottom w:val="none" w:sz="0" w:space="0" w:color="auto"/>
            <w:right w:val="none" w:sz="0" w:space="0" w:color="auto"/>
          </w:divBdr>
        </w:div>
        <w:div w:id="1061322081">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5516535">
      <w:bodyDiv w:val="1"/>
      <w:marLeft w:val="0"/>
      <w:marRight w:val="0"/>
      <w:marTop w:val="0"/>
      <w:marBottom w:val="0"/>
      <w:divBdr>
        <w:top w:val="none" w:sz="0" w:space="0" w:color="auto"/>
        <w:left w:val="none" w:sz="0" w:space="0" w:color="auto"/>
        <w:bottom w:val="none" w:sz="0" w:space="0" w:color="auto"/>
        <w:right w:val="none" w:sz="0" w:space="0" w:color="auto"/>
      </w:divBdr>
      <w:divsChild>
        <w:div w:id="782581250">
          <w:marLeft w:val="360"/>
          <w:marRight w:val="0"/>
          <w:marTop w:val="200"/>
          <w:marBottom w:val="0"/>
          <w:divBdr>
            <w:top w:val="none" w:sz="0" w:space="0" w:color="auto"/>
            <w:left w:val="none" w:sz="0" w:space="0" w:color="auto"/>
            <w:bottom w:val="none" w:sz="0" w:space="0" w:color="auto"/>
            <w:right w:val="none" w:sz="0" w:space="0" w:color="auto"/>
          </w:divBdr>
        </w:div>
        <w:div w:id="660162078">
          <w:marLeft w:val="1800"/>
          <w:marRight w:val="0"/>
          <w:marTop w:val="100"/>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3416805">
      <w:bodyDiv w:val="1"/>
      <w:marLeft w:val="0"/>
      <w:marRight w:val="0"/>
      <w:marTop w:val="0"/>
      <w:marBottom w:val="0"/>
      <w:divBdr>
        <w:top w:val="none" w:sz="0" w:space="0" w:color="auto"/>
        <w:left w:val="none" w:sz="0" w:space="0" w:color="auto"/>
        <w:bottom w:val="none" w:sz="0" w:space="0" w:color="auto"/>
        <w:right w:val="none" w:sz="0" w:space="0" w:color="auto"/>
      </w:divBdr>
      <w:divsChild>
        <w:div w:id="1707439029">
          <w:marLeft w:val="360"/>
          <w:marRight w:val="0"/>
          <w:marTop w:val="200"/>
          <w:marBottom w:val="0"/>
          <w:divBdr>
            <w:top w:val="none" w:sz="0" w:space="0" w:color="auto"/>
            <w:left w:val="none" w:sz="0" w:space="0" w:color="auto"/>
            <w:bottom w:val="none" w:sz="0" w:space="0" w:color="auto"/>
            <w:right w:val="none" w:sz="0" w:space="0" w:color="auto"/>
          </w:divBdr>
        </w:div>
        <w:div w:id="1445150169">
          <w:marLeft w:val="1080"/>
          <w:marRight w:val="0"/>
          <w:marTop w:val="10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73213169">
      <w:bodyDiv w:val="1"/>
      <w:marLeft w:val="0"/>
      <w:marRight w:val="0"/>
      <w:marTop w:val="0"/>
      <w:marBottom w:val="0"/>
      <w:divBdr>
        <w:top w:val="none" w:sz="0" w:space="0" w:color="auto"/>
        <w:left w:val="none" w:sz="0" w:space="0" w:color="auto"/>
        <w:bottom w:val="none" w:sz="0" w:space="0" w:color="auto"/>
        <w:right w:val="none" w:sz="0" w:space="0" w:color="auto"/>
      </w:divBdr>
      <w:divsChild>
        <w:div w:id="688071996">
          <w:marLeft w:val="360"/>
          <w:marRight w:val="0"/>
          <w:marTop w:val="200"/>
          <w:marBottom w:val="0"/>
          <w:divBdr>
            <w:top w:val="none" w:sz="0" w:space="0" w:color="auto"/>
            <w:left w:val="none" w:sz="0" w:space="0" w:color="auto"/>
            <w:bottom w:val="none" w:sz="0" w:space="0" w:color="auto"/>
            <w:right w:val="none" w:sz="0" w:space="0" w:color="auto"/>
          </w:divBdr>
        </w:div>
        <w:div w:id="1655521530">
          <w:marLeft w:val="108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23474757">
      <w:bodyDiv w:val="1"/>
      <w:marLeft w:val="0"/>
      <w:marRight w:val="0"/>
      <w:marTop w:val="0"/>
      <w:marBottom w:val="0"/>
      <w:divBdr>
        <w:top w:val="none" w:sz="0" w:space="0" w:color="auto"/>
        <w:left w:val="none" w:sz="0" w:space="0" w:color="auto"/>
        <w:bottom w:val="none" w:sz="0" w:space="0" w:color="auto"/>
        <w:right w:val="none" w:sz="0" w:space="0" w:color="auto"/>
      </w:divBdr>
      <w:divsChild>
        <w:div w:id="1785418091">
          <w:marLeft w:val="360"/>
          <w:marRight w:val="0"/>
          <w:marTop w:val="200"/>
          <w:marBottom w:val="0"/>
          <w:divBdr>
            <w:top w:val="none" w:sz="0" w:space="0" w:color="auto"/>
            <w:left w:val="none" w:sz="0" w:space="0" w:color="auto"/>
            <w:bottom w:val="none" w:sz="0" w:space="0" w:color="auto"/>
            <w:right w:val="none" w:sz="0" w:space="0" w:color="auto"/>
          </w:divBdr>
        </w:div>
        <w:div w:id="1798915654">
          <w:marLeft w:val="1080"/>
          <w:marRight w:val="0"/>
          <w:marTop w:val="100"/>
          <w:marBottom w:val="120"/>
          <w:divBdr>
            <w:top w:val="none" w:sz="0" w:space="0" w:color="auto"/>
            <w:left w:val="none" w:sz="0" w:space="0" w:color="auto"/>
            <w:bottom w:val="none" w:sz="0" w:space="0" w:color="auto"/>
            <w:right w:val="none" w:sz="0" w:space="0" w:color="auto"/>
          </w:divBdr>
        </w:div>
        <w:div w:id="1396928167">
          <w:marLeft w:val="1080"/>
          <w:marRight w:val="0"/>
          <w:marTop w:val="100"/>
          <w:marBottom w:val="120"/>
          <w:divBdr>
            <w:top w:val="none" w:sz="0" w:space="0" w:color="auto"/>
            <w:left w:val="none" w:sz="0" w:space="0" w:color="auto"/>
            <w:bottom w:val="none" w:sz="0" w:space="0" w:color="auto"/>
            <w:right w:val="none" w:sz="0" w:space="0" w:color="auto"/>
          </w:divBdr>
        </w:div>
        <w:div w:id="272977878">
          <w:marLeft w:val="1080"/>
          <w:marRight w:val="0"/>
          <w:marTop w:val="100"/>
          <w:marBottom w:val="120"/>
          <w:divBdr>
            <w:top w:val="none" w:sz="0" w:space="0" w:color="auto"/>
            <w:left w:val="none" w:sz="0" w:space="0" w:color="auto"/>
            <w:bottom w:val="none" w:sz="0" w:space="0" w:color="auto"/>
            <w:right w:val="none" w:sz="0" w:space="0" w:color="auto"/>
          </w:divBdr>
        </w:div>
      </w:divsChild>
    </w:div>
    <w:div w:id="1523939644">
      <w:bodyDiv w:val="1"/>
      <w:marLeft w:val="0"/>
      <w:marRight w:val="0"/>
      <w:marTop w:val="0"/>
      <w:marBottom w:val="0"/>
      <w:divBdr>
        <w:top w:val="none" w:sz="0" w:space="0" w:color="auto"/>
        <w:left w:val="none" w:sz="0" w:space="0" w:color="auto"/>
        <w:bottom w:val="none" w:sz="0" w:space="0" w:color="auto"/>
        <w:right w:val="none" w:sz="0" w:space="0" w:color="auto"/>
      </w:divBdr>
      <w:divsChild>
        <w:div w:id="1359159217">
          <w:marLeft w:val="360"/>
          <w:marRight w:val="0"/>
          <w:marTop w:val="200"/>
          <w:marBottom w:val="0"/>
          <w:divBdr>
            <w:top w:val="none" w:sz="0" w:space="0" w:color="auto"/>
            <w:left w:val="none" w:sz="0" w:space="0" w:color="auto"/>
            <w:bottom w:val="none" w:sz="0" w:space="0" w:color="auto"/>
            <w:right w:val="none" w:sz="0" w:space="0" w:color="auto"/>
          </w:divBdr>
        </w:div>
        <w:div w:id="1354190157">
          <w:marLeft w:val="360"/>
          <w:marRight w:val="0"/>
          <w:marTop w:val="200"/>
          <w:marBottom w:val="120"/>
          <w:divBdr>
            <w:top w:val="none" w:sz="0" w:space="0" w:color="auto"/>
            <w:left w:val="none" w:sz="0" w:space="0" w:color="auto"/>
            <w:bottom w:val="none" w:sz="0" w:space="0" w:color="auto"/>
            <w:right w:val="none" w:sz="0" w:space="0" w:color="auto"/>
          </w:divBdr>
        </w:div>
        <w:div w:id="2008089469">
          <w:marLeft w:val="360"/>
          <w:marRight w:val="0"/>
          <w:marTop w:val="200"/>
          <w:marBottom w:val="120"/>
          <w:divBdr>
            <w:top w:val="none" w:sz="0" w:space="0" w:color="auto"/>
            <w:left w:val="none" w:sz="0" w:space="0" w:color="auto"/>
            <w:bottom w:val="none" w:sz="0" w:space="0" w:color="auto"/>
            <w:right w:val="none" w:sz="0" w:space="0" w:color="auto"/>
          </w:divBdr>
        </w:div>
        <w:div w:id="570821560">
          <w:marLeft w:val="1080"/>
          <w:marRight w:val="0"/>
          <w:marTop w:val="100"/>
          <w:marBottom w:val="120"/>
          <w:divBdr>
            <w:top w:val="none" w:sz="0" w:space="0" w:color="auto"/>
            <w:left w:val="none" w:sz="0" w:space="0" w:color="auto"/>
            <w:bottom w:val="none" w:sz="0" w:space="0" w:color="auto"/>
            <w:right w:val="none" w:sz="0" w:space="0" w:color="auto"/>
          </w:divBdr>
        </w:div>
        <w:div w:id="1905069952">
          <w:marLeft w:val="1080"/>
          <w:marRight w:val="0"/>
          <w:marTop w:val="100"/>
          <w:marBottom w:val="120"/>
          <w:divBdr>
            <w:top w:val="none" w:sz="0" w:space="0" w:color="auto"/>
            <w:left w:val="none" w:sz="0" w:space="0" w:color="auto"/>
            <w:bottom w:val="none" w:sz="0" w:space="0" w:color="auto"/>
            <w:right w:val="none" w:sz="0" w:space="0" w:color="auto"/>
          </w:divBdr>
        </w:div>
        <w:div w:id="1564680403">
          <w:marLeft w:val="1080"/>
          <w:marRight w:val="0"/>
          <w:marTop w:val="100"/>
          <w:marBottom w:val="120"/>
          <w:divBdr>
            <w:top w:val="none" w:sz="0" w:space="0" w:color="auto"/>
            <w:left w:val="none" w:sz="0" w:space="0" w:color="auto"/>
            <w:bottom w:val="none" w:sz="0" w:space="0" w:color="auto"/>
            <w:right w:val="none" w:sz="0" w:space="0" w:color="auto"/>
          </w:divBdr>
        </w:div>
        <w:div w:id="2147352983">
          <w:marLeft w:val="1080"/>
          <w:marRight w:val="0"/>
          <w:marTop w:val="100"/>
          <w:marBottom w:val="120"/>
          <w:divBdr>
            <w:top w:val="none" w:sz="0" w:space="0" w:color="auto"/>
            <w:left w:val="none" w:sz="0" w:space="0" w:color="auto"/>
            <w:bottom w:val="none" w:sz="0" w:space="0" w:color="auto"/>
            <w:right w:val="none" w:sz="0" w:space="0" w:color="auto"/>
          </w:divBdr>
        </w:div>
        <w:div w:id="438725625">
          <w:marLeft w:val="360"/>
          <w:marRight w:val="0"/>
          <w:marTop w:val="200"/>
          <w:marBottom w:val="120"/>
          <w:divBdr>
            <w:top w:val="none" w:sz="0" w:space="0" w:color="auto"/>
            <w:left w:val="none" w:sz="0" w:space="0" w:color="auto"/>
            <w:bottom w:val="none" w:sz="0" w:space="0" w:color="auto"/>
            <w:right w:val="none" w:sz="0" w:space="0" w:color="auto"/>
          </w:divBdr>
        </w:div>
        <w:div w:id="1452701997">
          <w:marLeft w:val="360"/>
          <w:marRight w:val="0"/>
          <w:marTop w:val="200"/>
          <w:marBottom w:val="0"/>
          <w:divBdr>
            <w:top w:val="none" w:sz="0" w:space="0" w:color="auto"/>
            <w:left w:val="none" w:sz="0" w:space="0" w:color="auto"/>
            <w:bottom w:val="none" w:sz="0" w:space="0" w:color="auto"/>
            <w:right w:val="none" w:sz="0" w:space="0" w:color="auto"/>
          </w:divBdr>
        </w:div>
      </w:divsChild>
    </w:div>
    <w:div w:id="1544824020">
      <w:bodyDiv w:val="1"/>
      <w:marLeft w:val="0"/>
      <w:marRight w:val="0"/>
      <w:marTop w:val="0"/>
      <w:marBottom w:val="0"/>
      <w:divBdr>
        <w:top w:val="none" w:sz="0" w:space="0" w:color="auto"/>
        <w:left w:val="none" w:sz="0" w:space="0" w:color="auto"/>
        <w:bottom w:val="none" w:sz="0" w:space="0" w:color="auto"/>
        <w:right w:val="none" w:sz="0" w:space="0" w:color="auto"/>
      </w:divBdr>
      <w:divsChild>
        <w:div w:id="1512988474">
          <w:marLeft w:val="360"/>
          <w:marRight w:val="0"/>
          <w:marTop w:val="200"/>
          <w:marBottom w:val="0"/>
          <w:divBdr>
            <w:top w:val="none" w:sz="0" w:space="0" w:color="auto"/>
            <w:left w:val="none" w:sz="0" w:space="0" w:color="auto"/>
            <w:bottom w:val="none" w:sz="0" w:space="0" w:color="auto"/>
            <w:right w:val="none" w:sz="0" w:space="0" w:color="auto"/>
          </w:divBdr>
        </w:div>
      </w:divsChild>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77016510">
      <w:bodyDiv w:val="1"/>
      <w:marLeft w:val="0"/>
      <w:marRight w:val="0"/>
      <w:marTop w:val="0"/>
      <w:marBottom w:val="0"/>
      <w:divBdr>
        <w:top w:val="none" w:sz="0" w:space="0" w:color="auto"/>
        <w:left w:val="none" w:sz="0" w:space="0" w:color="auto"/>
        <w:bottom w:val="none" w:sz="0" w:space="0" w:color="auto"/>
        <w:right w:val="none" w:sz="0" w:space="0" w:color="auto"/>
      </w:divBdr>
      <w:divsChild>
        <w:div w:id="515340115">
          <w:marLeft w:val="108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63140126">
      <w:bodyDiv w:val="1"/>
      <w:marLeft w:val="0"/>
      <w:marRight w:val="0"/>
      <w:marTop w:val="0"/>
      <w:marBottom w:val="0"/>
      <w:divBdr>
        <w:top w:val="none" w:sz="0" w:space="0" w:color="auto"/>
        <w:left w:val="none" w:sz="0" w:space="0" w:color="auto"/>
        <w:bottom w:val="none" w:sz="0" w:space="0" w:color="auto"/>
        <w:right w:val="none" w:sz="0" w:space="0" w:color="auto"/>
      </w:divBdr>
      <w:divsChild>
        <w:div w:id="34745995">
          <w:marLeft w:val="360"/>
          <w:marRight w:val="0"/>
          <w:marTop w:val="200"/>
          <w:marBottom w:val="0"/>
          <w:divBdr>
            <w:top w:val="none" w:sz="0" w:space="0" w:color="auto"/>
            <w:left w:val="none" w:sz="0" w:space="0" w:color="auto"/>
            <w:bottom w:val="none" w:sz="0" w:space="0" w:color="auto"/>
            <w:right w:val="none" w:sz="0" w:space="0" w:color="auto"/>
          </w:divBdr>
        </w:div>
        <w:div w:id="617639182">
          <w:marLeft w:val="1080"/>
          <w:marRight w:val="0"/>
          <w:marTop w:val="1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19BF48-B7D1-4BD7-BAD3-D122EF11FA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655</Words>
  <Characters>3735</Characters>
  <Application>Microsoft Office Word</Application>
  <DocSecurity>0</DocSecurity>
  <Lines>31</Lines>
  <Paragraphs>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Summary and Conclusion</vt:lpstr>
      <vt:lpstr>References</vt:lpstr>
    </vt:vector>
  </TitlesOfParts>
  <LinksUpToDate>false</LinksUpToDate>
  <CharactersWithSpaces>4382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2021-01-14T11:44:00Z</dcterms:created>
  <dcterms:modified xsi:type="dcterms:W3CDTF">2021-01-15T16:47:00Z</dcterms:modified>
</cp:coreProperties>
</file>